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F2" w:rsidRPr="00103CB1" w:rsidRDefault="00000AF2" w:rsidP="00000AF2">
      <w:pPr>
        <w:rPr>
          <w:b/>
        </w:rPr>
      </w:pPr>
      <w:r w:rsidRPr="00103CB1">
        <w:rPr>
          <w:b/>
        </w:rPr>
        <w:t>Len Duvall</w:t>
      </w:r>
    </w:p>
    <w:p w:rsidR="00000AF2" w:rsidRPr="00103CB1" w:rsidRDefault="00000AF2" w:rsidP="00000AF2">
      <w:pPr>
        <w:rPr>
          <w:b/>
        </w:rPr>
      </w:pPr>
      <w:r w:rsidRPr="00103CB1">
        <w:rPr>
          <w:b/>
        </w:rPr>
        <w:t>Chair of the G</w:t>
      </w:r>
      <w:r w:rsidR="00D81EE6">
        <w:rPr>
          <w:b/>
        </w:rPr>
        <w:t xml:space="preserve">reater London Assembly </w:t>
      </w:r>
      <w:r w:rsidRPr="00103CB1">
        <w:rPr>
          <w:b/>
        </w:rPr>
        <w:t>Oversight Committee.</w:t>
      </w:r>
      <w:bookmarkStart w:id="0" w:name="_GoBack"/>
      <w:bookmarkEnd w:id="0"/>
    </w:p>
    <w:p w:rsidR="00000AF2" w:rsidRDefault="00000AF2" w:rsidP="00000AF2"/>
    <w:p w:rsidR="006820F5" w:rsidRDefault="006820F5" w:rsidP="00000AF2"/>
    <w:p w:rsidR="00000AF2" w:rsidRDefault="00000AF2" w:rsidP="00000AF2">
      <w:r>
        <w:t>Dear Len Duvall,</w:t>
      </w:r>
    </w:p>
    <w:p w:rsidR="00000AF2" w:rsidRDefault="00000AF2" w:rsidP="00000AF2"/>
    <w:p w:rsidR="00FF609B" w:rsidRPr="00FF609B" w:rsidRDefault="00FF609B" w:rsidP="00000AF2">
      <w:pPr>
        <w:rPr>
          <w:b/>
        </w:rPr>
      </w:pPr>
      <w:r w:rsidRPr="00FF609B">
        <w:rPr>
          <w:b/>
        </w:rPr>
        <w:t xml:space="preserve">Re: Reporting oversight on the Garden Bridge </w:t>
      </w:r>
    </w:p>
    <w:p w:rsidR="00FF609B" w:rsidRDefault="00FF609B" w:rsidP="00000AF2"/>
    <w:p w:rsidR="00713163" w:rsidRDefault="00705532" w:rsidP="00000AF2">
      <w:r>
        <w:t>R</w:t>
      </w:r>
      <w:r w:rsidR="00000AF2">
        <w:t>egarding the GLA Oversight Committee m</w:t>
      </w:r>
      <w:r w:rsidR="0098703A">
        <w:t>ee</w:t>
      </w:r>
      <w:r w:rsidR="00000AF2">
        <w:t>t</w:t>
      </w:r>
      <w:r w:rsidR="0098703A">
        <w:t>in</w:t>
      </w:r>
      <w:r w:rsidR="00000AF2">
        <w:t xml:space="preserve">g </w:t>
      </w:r>
      <w:r w:rsidR="00D81EE6">
        <w:t>of 11 October 20</w:t>
      </w:r>
      <w:r w:rsidR="0098703A">
        <w:t xml:space="preserve">17 </w:t>
      </w:r>
      <w:r w:rsidR="00000AF2">
        <w:t>on the Garden Bridge</w:t>
      </w:r>
      <w:r w:rsidR="00DA1701" w:rsidRPr="00DA1701">
        <w:t xml:space="preserve"> </w:t>
      </w:r>
      <w:r>
        <w:t xml:space="preserve">we are writing </w:t>
      </w:r>
      <w:r w:rsidR="00D26542">
        <w:t xml:space="preserve">to </w:t>
      </w:r>
      <w:r w:rsidR="006D73AB">
        <w:t>ask</w:t>
      </w:r>
      <w:r w:rsidR="00DA1701">
        <w:t xml:space="preserve"> </w:t>
      </w:r>
      <w:r w:rsidR="00D26542">
        <w:t>your</w:t>
      </w:r>
      <w:r w:rsidR="00DA1701">
        <w:t xml:space="preserve"> committee </w:t>
      </w:r>
      <w:r w:rsidR="006D73AB">
        <w:t xml:space="preserve">to </w:t>
      </w:r>
      <w:r w:rsidR="00DA1701">
        <w:t>consider</w:t>
      </w:r>
      <w:r w:rsidR="00D26542">
        <w:t xml:space="preserve"> moving to </w:t>
      </w:r>
      <w:r w:rsidR="006D73AB">
        <w:t>clarif</w:t>
      </w:r>
      <w:r w:rsidR="00D26542">
        <w:t xml:space="preserve">y </w:t>
      </w:r>
      <w:r w:rsidR="00086E83">
        <w:t xml:space="preserve">a </w:t>
      </w:r>
      <w:r w:rsidR="00713163">
        <w:t xml:space="preserve">relevant issue that </w:t>
      </w:r>
      <w:r w:rsidR="00086E83">
        <w:t>is</w:t>
      </w:r>
      <w:r w:rsidR="00713163">
        <w:t xml:space="preserve"> raised.</w:t>
      </w:r>
    </w:p>
    <w:p w:rsidR="0076143D" w:rsidRDefault="0076143D" w:rsidP="00000AF2"/>
    <w:p w:rsidR="00EE7B48" w:rsidRDefault="00C8479A" w:rsidP="00C43DEA">
      <w:r>
        <w:t xml:space="preserve">This relates to how design propositions that benefit the public estate can be brought forward by London’s design community in future. </w:t>
      </w:r>
      <w:r w:rsidR="00EE7B48">
        <w:t xml:space="preserve"> </w:t>
      </w:r>
      <w:r w:rsidR="004D5583">
        <w:t xml:space="preserve">We believe this will </w:t>
      </w:r>
      <w:r w:rsidR="00EE7B48">
        <w:t xml:space="preserve">release enormous untapped potential to identify opportunities and deliver growth.  </w:t>
      </w:r>
      <w:r w:rsidR="008B2489">
        <w:t xml:space="preserve"> </w:t>
      </w:r>
    </w:p>
    <w:p w:rsidR="00C8479A" w:rsidRDefault="004D5583" w:rsidP="00C43DEA">
      <w:r>
        <w:t xml:space="preserve"> </w:t>
      </w:r>
    </w:p>
    <w:p w:rsidR="00FC17A4" w:rsidRDefault="00C554C9" w:rsidP="00C43DEA">
      <w:r>
        <w:t>T</w:t>
      </w:r>
      <w:r w:rsidR="00AC1951">
        <w:t xml:space="preserve">he endeavours of </w:t>
      </w:r>
      <w:r>
        <w:t xml:space="preserve">UK </w:t>
      </w:r>
      <w:r w:rsidR="00AC1951">
        <w:t xml:space="preserve">design </w:t>
      </w:r>
      <w:r w:rsidR="00DB4CA9">
        <w:t>professionals to</w:t>
      </w:r>
      <w:r w:rsidR="004672E5">
        <w:t xml:space="preserve"> support</w:t>
      </w:r>
      <w:r w:rsidR="00CB0196">
        <w:t xml:space="preserve"> a project from inception </w:t>
      </w:r>
      <w:r w:rsidR="00AC1951">
        <w:t xml:space="preserve">are </w:t>
      </w:r>
      <w:r w:rsidR="004D5583">
        <w:t xml:space="preserve">often </w:t>
      </w:r>
      <w:r w:rsidR="00AC1951">
        <w:t>ignored</w:t>
      </w:r>
      <w:r w:rsidR="004D5583">
        <w:t>,</w:t>
      </w:r>
      <w:r w:rsidR="00AC1951">
        <w:t xml:space="preserve"> and the knowledge lost as any scheme adopted for public implementation </w:t>
      </w:r>
      <w:r w:rsidR="00CB0196">
        <w:t xml:space="preserve">will then be put out to competitive tender. </w:t>
      </w:r>
      <w:r>
        <w:t xml:space="preserve"> </w:t>
      </w:r>
      <w:r w:rsidR="00890CB1">
        <w:t>T</w:t>
      </w:r>
      <w:r w:rsidR="00CB0196">
        <w:t xml:space="preserve">here is </w:t>
      </w:r>
      <w:r w:rsidR="00705532">
        <w:t xml:space="preserve">now </w:t>
      </w:r>
      <w:r w:rsidR="00890CB1">
        <w:t xml:space="preserve">therefore </w:t>
      </w:r>
      <w:r w:rsidR="00CB0196">
        <w:t xml:space="preserve">little motivation for </w:t>
      </w:r>
      <w:r w:rsidR="004672E5">
        <w:t xml:space="preserve">design professionals to </w:t>
      </w:r>
      <w:r w:rsidR="004D5583">
        <w:t xml:space="preserve">initiate and </w:t>
      </w:r>
      <w:r w:rsidR="00086E83">
        <w:t>nurture</w:t>
      </w:r>
      <w:r w:rsidR="00CB0196">
        <w:t xml:space="preserve"> </w:t>
      </w:r>
      <w:r w:rsidR="004672E5">
        <w:t>projects from</w:t>
      </w:r>
      <w:r>
        <w:t xml:space="preserve"> </w:t>
      </w:r>
      <w:r w:rsidR="004672E5">
        <w:t>inception</w:t>
      </w:r>
      <w:r w:rsidR="004D5583">
        <w:t xml:space="preserve"> as</w:t>
      </w:r>
      <w:r>
        <w:t xml:space="preserve"> </w:t>
      </w:r>
      <w:r w:rsidR="004D5583">
        <w:t>almost inevitably the original designers will be preclude</w:t>
      </w:r>
      <w:r w:rsidR="00B802FA">
        <w:t>d</w:t>
      </w:r>
      <w:r w:rsidR="004D5583">
        <w:t xml:space="preserve"> as the established competitive processes are highly restrictive. </w:t>
      </w:r>
    </w:p>
    <w:p w:rsidR="00FC17A4" w:rsidRDefault="00FC17A4" w:rsidP="00C43DEA"/>
    <w:p w:rsidR="00CB0196" w:rsidRDefault="004D5583" w:rsidP="00C43DEA">
      <w:r>
        <w:t>This effectively</w:t>
      </w:r>
      <w:r w:rsidR="004672E5">
        <w:t xml:space="preserve"> locks out many</w:t>
      </w:r>
      <w:r w:rsidR="00086E83">
        <w:t xml:space="preserve"> </w:t>
      </w:r>
      <w:r>
        <w:t xml:space="preserve">of those </w:t>
      </w:r>
      <w:r w:rsidR="004672E5">
        <w:t>who would be particularly well placed to support ‘bottom up’ endeavours</w:t>
      </w:r>
      <w:r w:rsidR="00705532">
        <w:t>, whether f</w:t>
      </w:r>
      <w:r w:rsidR="004672E5">
        <w:t xml:space="preserve">or </w:t>
      </w:r>
      <w:r w:rsidR="00CB0196">
        <w:t xml:space="preserve">example </w:t>
      </w:r>
      <w:r w:rsidR="00705532">
        <w:t xml:space="preserve">through </w:t>
      </w:r>
      <w:r>
        <w:t xml:space="preserve">the </w:t>
      </w:r>
      <w:r w:rsidR="00705532">
        <w:t xml:space="preserve">engagement </w:t>
      </w:r>
      <w:r>
        <w:t xml:space="preserve">of design professionals </w:t>
      </w:r>
      <w:r w:rsidR="00705532">
        <w:t xml:space="preserve">with their communities </w:t>
      </w:r>
      <w:r w:rsidR="00CB0196">
        <w:t xml:space="preserve">or </w:t>
      </w:r>
      <w:r w:rsidR="00705532">
        <w:t>by creating</w:t>
      </w:r>
      <w:r w:rsidR="00CB0196">
        <w:t xml:space="preserve"> </w:t>
      </w:r>
      <w:r w:rsidR="004672E5">
        <w:t>imaginative</w:t>
      </w:r>
      <w:r w:rsidR="00705532">
        <w:t xml:space="preserve"> and</w:t>
      </w:r>
      <w:r w:rsidR="004672E5">
        <w:t xml:space="preserve"> valuable</w:t>
      </w:r>
      <w:r w:rsidR="00CB0196">
        <w:t xml:space="preserve"> design ideas contribut</w:t>
      </w:r>
      <w:r w:rsidR="00705532">
        <w:t>ing</w:t>
      </w:r>
      <w:r w:rsidR="00CB0196">
        <w:t xml:space="preserve"> to </w:t>
      </w:r>
      <w:r w:rsidR="00705532">
        <w:t>the</w:t>
      </w:r>
      <w:r w:rsidR="00CB0196">
        <w:t xml:space="preserve"> cit</w:t>
      </w:r>
      <w:r w:rsidR="00705532">
        <w:t>y’s</w:t>
      </w:r>
      <w:r w:rsidR="00CB0196">
        <w:t xml:space="preserve"> </w:t>
      </w:r>
      <w:r w:rsidR="00B20380">
        <w:t xml:space="preserve">wider </w:t>
      </w:r>
      <w:r w:rsidR="00705532">
        <w:t xml:space="preserve">needs, </w:t>
      </w:r>
      <w:r w:rsidR="004672E5">
        <w:t>vitality and wellbeing</w:t>
      </w:r>
      <w:r w:rsidR="00CB0196">
        <w:t>.</w:t>
      </w:r>
      <w:r>
        <w:t xml:space="preserve">  </w:t>
      </w:r>
    </w:p>
    <w:p w:rsidR="00CB0196" w:rsidRDefault="00CB0196" w:rsidP="00C43DEA"/>
    <w:p w:rsidR="00637226" w:rsidRDefault="00086E83" w:rsidP="00086E83">
      <w:r>
        <w:t xml:space="preserve">The Public Contract Regulations (PCR) 2015 provide seven </w:t>
      </w:r>
      <w:r w:rsidR="00B71D08">
        <w:t xml:space="preserve">procurement </w:t>
      </w:r>
      <w:r>
        <w:t>routes</w:t>
      </w:r>
      <w:r w:rsidR="00C10F45">
        <w:t xml:space="preserve"> but</w:t>
      </w:r>
      <w:r w:rsidR="00B71D08">
        <w:t xml:space="preserve"> the ‘Restricted </w:t>
      </w:r>
      <w:r w:rsidR="00890CB1">
        <w:t>P</w:t>
      </w:r>
      <w:r w:rsidR="00B71D08">
        <w:t>rocedure’</w:t>
      </w:r>
      <w:r w:rsidR="00637226">
        <w:t xml:space="preserve"> </w:t>
      </w:r>
      <w:r w:rsidR="00B71D08">
        <w:t>predomina</w:t>
      </w:r>
      <w:r w:rsidR="00637226">
        <w:t xml:space="preserve">tes </w:t>
      </w:r>
      <w:r w:rsidR="00B71D08">
        <w:t xml:space="preserve">in the UK, while </w:t>
      </w:r>
      <w:r w:rsidR="00637226">
        <w:t xml:space="preserve">others are hardly </w:t>
      </w:r>
      <w:r w:rsidR="00C10F45">
        <w:t xml:space="preserve">ever </w:t>
      </w:r>
      <w:r w:rsidR="00B71D08">
        <w:t>used.</w:t>
      </w:r>
      <w:r w:rsidR="00C456F4">
        <w:t xml:space="preserve"> </w:t>
      </w:r>
      <w:r w:rsidR="00C10F45">
        <w:t xml:space="preserve">Improved </w:t>
      </w:r>
      <w:r w:rsidR="00B71D08">
        <w:t xml:space="preserve">clarity could open </w:t>
      </w:r>
      <w:r w:rsidR="00637226">
        <w:t xml:space="preserve">the </w:t>
      </w:r>
      <w:r w:rsidR="00B71D08">
        <w:t xml:space="preserve">opportunity for procurement officers to select more appropriate procedures.  </w:t>
      </w:r>
      <w:r w:rsidR="00FC17A4">
        <w:t>Because it</w:t>
      </w:r>
      <w:r w:rsidR="006C7573">
        <w:t xml:space="preserve"> aim</w:t>
      </w:r>
      <w:r w:rsidR="00FC17A4">
        <w:t>s</w:t>
      </w:r>
      <w:r w:rsidR="006C7573">
        <w:t xml:space="preserve"> </w:t>
      </w:r>
      <w:r w:rsidR="00FC17A4">
        <w:t>to</w:t>
      </w:r>
      <w:r w:rsidR="006C7573">
        <w:t xml:space="preserve"> secur</w:t>
      </w:r>
      <w:r w:rsidR="00FC17A4">
        <w:t>e</w:t>
      </w:r>
      <w:r w:rsidR="006C7573">
        <w:t xml:space="preserve"> design copyright </w:t>
      </w:r>
      <w:hyperlink r:id="rId8" w:history="1">
        <w:r w:rsidR="006C7573" w:rsidRPr="00103CB1">
          <w:rPr>
            <w:rStyle w:val="Hyperlink"/>
          </w:rPr>
          <w:t>(PCR 2015</w:t>
        </w:r>
        <w:r w:rsidR="00FC17A4" w:rsidRPr="00103CB1">
          <w:rPr>
            <w:rStyle w:val="Hyperlink"/>
          </w:rPr>
          <w:t>,</w:t>
        </w:r>
        <w:r w:rsidR="006C7573" w:rsidRPr="00103CB1">
          <w:rPr>
            <w:rStyle w:val="Hyperlink"/>
          </w:rPr>
          <w:t xml:space="preserve"> Reg. 32.2[b]</w:t>
        </w:r>
        <w:r w:rsidR="00FC17A4" w:rsidRPr="00103CB1">
          <w:rPr>
            <w:rStyle w:val="Hyperlink"/>
          </w:rPr>
          <w:t>)</w:t>
        </w:r>
      </w:hyperlink>
      <w:r w:rsidR="00103CB1">
        <w:rPr>
          <w:rStyle w:val="EndnoteReference"/>
        </w:rPr>
        <w:endnoteReference w:id="1"/>
      </w:r>
      <w:r w:rsidR="00FC17A4">
        <w:t xml:space="preserve"> use of the ‘Negotiated procedure without prior publication’ offers significant potential</w:t>
      </w:r>
      <w:r w:rsidR="008325C4">
        <w:t xml:space="preserve"> </w:t>
      </w:r>
      <w:r w:rsidR="00C10F45">
        <w:t>for clients to access the ideas and knowledge of those involved in ‘bottom up’ initiatives</w:t>
      </w:r>
      <w:r w:rsidR="00FC17A4">
        <w:t>.</w:t>
      </w:r>
      <w:r w:rsidR="00C10F45">
        <w:t xml:space="preserve">  </w:t>
      </w:r>
    </w:p>
    <w:p w:rsidR="006C7573" w:rsidRDefault="006C7573" w:rsidP="00086E83"/>
    <w:p w:rsidR="006C7573" w:rsidRDefault="006B7DEF" w:rsidP="00086E83">
      <w:hyperlink r:id="rId9" w:history="1">
        <w:r w:rsidR="00A76256" w:rsidRPr="00103CB1">
          <w:rPr>
            <w:rStyle w:val="Hyperlink"/>
          </w:rPr>
          <w:t>T</w:t>
        </w:r>
        <w:r w:rsidR="006C7573" w:rsidRPr="00103CB1">
          <w:rPr>
            <w:rStyle w:val="Hyperlink"/>
          </w:rPr>
          <w:t xml:space="preserve">he </w:t>
        </w:r>
        <w:r w:rsidR="00A76256" w:rsidRPr="00103CB1">
          <w:rPr>
            <w:rStyle w:val="Hyperlink"/>
          </w:rPr>
          <w:t>regulation (32.2[b])</w:t>
        </w:r>
      </w:hyperlink>
      <w:r w:rsidR="006C7573">
        <w:t xml:space="preserve"> </w:t>
      </w:r>
      <w:r w:rsidR="00A76256">
        <w:t xml:space="preserve">however </w:t>
      </w:r>
      <w:r w:rsidR="006C7573">
        <w:t xml:space="preserve">is caveated </w:t>
      </w:r>
      <w:r w:rsidR="00A76256">
        <w:t>ambiguously</w:t>
      </w:r>
      <w:r w:rsidR="009266ED">
        <w:t>,</w:t>
      </w:r>
      <w:r w:rsidR="00A76256">
        <w:t xml:space="preserve"> in the following terms</w:t>
      </w:r>
      <w:r w:rsidR="006C7573">
        <w:t>:</w:t>
      </w:r>
    </w:p>
    <w:p w:rsidR="006C7573" w:rsidRDefault="006C7573" w:rsidP="006C7573">
      <w:pPr>
        <w:ind w:left="720"/>
      </w:pPr>
      <w:r w:rsidRPr="00D3111C">
        <w:rPr>
          <w:rFonts w:ascii="inherit" w:hAnsi="inherit"/>
          <w:i/>
          <w:iCs/>
          <w:color w:val="000000"/>
          <w:sz w:val="24"/>
          <w:szCs w:val="24"/>
          <w:lang w:eastAsia="en-GB"/>
        </w:rPr>
        <w:t>“</w:t>
      </w:r>
      <w:proofErr w:type="gramStart"/>
      <w:r w:rsidRPr="00D3111C">
        <w:rPr>
          <w:rFonts w:ascii="inherit" w:hAnsi="inherit"/>
          <w:i/>
          <w:iCs/>
          <w:color w:val="000000"/>
          <w:sz w:val="24"/>
          <w:szCs w:val="24"/>
          <w:lang w:eastAsia="en-GB"/>
        </w:rPr>
        <w:t>when</w:t>
      </w:r>
      <w:proofErr w:type="gramEnd"/>
      <w:r w:rsidRPr="00D3111C">
        <w:rPr>
          <w:rFonts w:ascii="inherit" w:hAnsi="inherit"/>
          <w:i/>
          <w:iCs/>
          <w:color w:val="000000"/>
          <w:sz w:val="24"/>
          <w:szCs w:val="24"/>
          <w:lang w:eastAsia="en-GB"/>
        </w:rPr>
        <w:t xml:space="preserve"> no </w:t>
      </w:r>
      <w:r w:rsidRPr="00D3111C">
        <w:rPr>
          <w:rFonts w:ascii="inherit" w:hAnsi="inherit"/>
          <w:i/>
          <w:iCs/>
          <w:color w:val="000000"/>
          <w:sz w:val="24"/>
          <w:szCs w:val="24"/>
          <w:highlight w:val="yellow"/>
          <w:lang w:eastAsia="en-GB"/>
        </w:rPr>
        <w:t>reasonable</w:t>
      </w:r>
      <w:r w:rsidRPr="00D3111C">
        <w:rPr>
          <w:rFonts w:ascii="inherit" w:hAnsi="inherit"/>
          <w:i/>
          <w:iCs/>
          <w:color w:val="000000"/>
          <w:sz w:val="24"/>
          <w:szCs w:val="24"/>
          <w:lang w:eastAsia="en-GB"/>
        </w:rPr>
        <w:t xml:space="preserve"> alternative or substitute exists</w:t>
      </w:r>
      <w:r w:rsidR="00A76256" w:rsidRPr="00D3111C">
        <w:rPr>
          <w:rFonts w:ascii="inherit" w:hAnsi="inherit"/>
          <w:i/>
          <w:iCs/>
          <w:color w:val="000000"/>
          <w:sz w:val="24"/>
          <w:szCs w:val="24"/>
          <w:lang w:eastAsia="en-GB"/>
        </w:rPr>
        <w:t xml:space="preserve"> and the absence of competition is</w:t>
      </w:r>
      <w:r w:rsidRPr="00D3111C">
        <w:rPr>
          <w:rFonts w:ascii="inherit" w:hAnsi="inherit"/>
          <w:i/>
          <w:iCs/>
          <w:color w:val="000000"/>
          <w:sz w:val="24"/>
          <w:szCs w:val="24"/>
          <w:lang w:eastAsia="en-GB"/>
        </w:rPr>
        <w:t xml:space="preserve"> </w:t>
      </w:r>
      <w:r w:rsidRPr="00D3111C">
        <w:rPr>
          <w:rFonts w:ascii="inherit" w:hAnsi="inherit"/>
          <w:i/>
          <w:iCs/>
          <w:color w:val="000000"/>
          <w:sz w:val="24"/>
          <w:szCs w:val="24"/>
          <w:highlight w:val="yellow"/>
          <w:lang w:eastAsia="en-GB"/>
        </w:rPr>
        <w:t>not the result of an artificial narrowing down</w:t>
      </w:r>
      <w:r w:rsidRPr="00D3111C">
        <w:rPr>
          <w:rFonts w:ascii="inherit" w:hAnsi="inherit"/>
          <w:i/>
          <w:iCs/>
          <w:color w:val="000000"/>
          <w:sz w:val="24"/>
          <w:szCs w:val="24"/>
          <w:lang w:eastAsia="en-GB"/>
        </w:rPr>
        <w:t xml:space="preserve"> of the parameters of the procurement”</w:t>
      </w:r>
      <w:r>
        <w:rPr>
          <w:rFonts w:ascii="inherit" w:hAnsi="inherit"/>
          <w:i/>
          <w:iCs/>
          <w:color w:val="000000"/>
          <w:sz w:val="24"/>
          <w:szCs w:val="24"/>
          <w:lang w:eastAsia="en-GB"/>
        </w:rPr>
        <w:t xml:space="preserve"> </w:t>
      </w:r>
      <w:r w:rsidRPr="006C7573">
        <w:t xml:space="preserve"> </w:t>
      </w:r>
    </w:p>
    <w:p w:rsidR="006C7573" w:rsidRDefault="006C7573" w:rsidP="00086E83"/>
    <w:p w:rsidR="00437DB9" w:rsidRDefault="00C10F45" w:rsidP="00086E83">
      <w:r>
        <w:t xml:space="preserve">An absence of guidance in the UK for </w:t>
      </w:r>
      <w:r w:rsidR="00437DB9">
        <w:t xml:space="preserve">procurement </w:t>
      </w:r>
      <w:r w:rsidR="00A76256">
        <w:t xml:space="preserve">lawyers, specialists and public authorities’ </w:t>
      </w:r>
      <w:r>
        <w:t xml:space="preserve">means </w:t>
      </w:r>
      <w:r w:rsidR="00890CB1">
        <w:t xml:space="preserve">they are unable to justify using this procurement route. </w:t>
      </w:r>
      <w:r w:rsidR="00AC1951">
        <w:t xml:space="preserve">This is not the case in much of Europe where </w:t>
      </w:r>
      <w:r w:rsidR="004531D1">
        <w:t xml:space="preserve">it is </w:t>
      </w:r>
      <w:r w:rsidR="004C2482">
        <w:t xml:space="preserve">more </w:t>
      </w:r>
      <w:r w:rsidR="004531D1">
        <w:t>widely used</w:t>
      </w:r>
      <w:r w:rsidR="00886B7E">
        <w:t>,</w:t>
      </w:r>
      <w:r w:rsidR="004531D1">
        <w:t xml:space="preserve"> as </w:t>
      </w:r>
      <w:r w:rsidR="00AC1951">
        <w:t xml:space="preserve">clarity on </w:t>
      </w:r>
      <w:r w:rsidR="00886B7E">
        <w:t>this</w:t>
      </w:r>
      <w:r w:rsidR="00AC1951">
        <w:t xml:space="preserve"> regulation often exists</w:t>
      </w:r>
      <w:r w:rsidR="00886B7E">
        <w:t>.</w:t>
      </w:r>
      <w:r w:rsidR="004531D1">
        <w:t xml:space="preserve">   </w:t>
      </w:r>
    </w:p>
    <w:p w:rsidR="00A76256" w:rsidRDefault="00A76256" w:rsidP="00086E83"/>
    <w:p w:rsidR="00886B7E" w:rsidRDefault="00886B7E" w:rsidP="00A76256">
      <w:r>
        <w:t xml:space="preserve">We believe that </w:t>
      </w:r>
      <w:r w:rsidR="00890CB1">
        <w:t xml:space="preserve">this could be resolved and this alternative route opened up if </w:t>
      </w:r>
      <w:r>
        <w:t xml:space="preserve">clarification of clause 32.2[b] </w:t>
      </w:r>
      <w:r w:rsidR="00890CB1">
        <w:t xml:space="preserve">were </w:t>
      </w:r>
      <w:r>
        <w:t>provided to enable clients to benefit from the knowledge and initiative of an existing design team</w:t>
      </w:r>
      <w:r w:rsidR="00C456F4">
        <w:t xml:space="preserve">. What is needed is a process by which </w:t>
      </w:r>
      <w:r>
        <w:t xml:space="preserve">a project can be transparently and clearly evidenced as delivering value, probity, fairness and quality in the best interests of the public.  </w:t>
      </w:r>
    </w:p>
    <w:p w:rsidR="00886B7E" w:rsidRDefault="00886B7E" w:rsidP="00A76256"/>
    <w:p w:rsidR="009266ED" w:rsidRDefault="00103CB1" w:rsidP="00A76256">
      <w:r>
        <w:t>S</w:t>
      </w:r>
      <w:r w:rsidR="006C7573">
        <w:t xml:space="preserve">ubject to upholding all </w:t>
      </w:r>
      <w:r>
        <w:t xml:space="preserve">these </w:t>
      </w:r>
      <w:r w:rsidR="006C7573">
        <w:t>other procurement principles</w:t>
      </w:r>
      <w:r>
        <w:t>,</w:t>
      </w:r>
      <w:r w:rsidR="00FA5A9E">
        <w:t xml:space="preserve"> and to unlock opportunity through this procedural route </w:t>
      </w:r>
      <w:r w:rsidR="009266ED">
        <w:t xml:space="preserve">we would therefore recommend </w:t>
      </w:r>
      <w:r w:rsidR="00886B7E">
        <w:t>regulation (</w:t>
      </w:r>
      <w:r w:rsidR="00FA5A9E">
        <w:t>32.2</w:t>
      </w:r>
      <w:r w:rsidR="00D81EE6">
        <w:t>[b]</w:t>
      </w:r>
      <w:r w:rsidR="00886B7E">
        <w:t>)</w:t>
      </w:r>
      <w:r w:rsidR="00FA5A9E">
        <w:t xml:space="preserve"> be clarified </w:t>
      </w:r>
      <w:r w:rsidR="00890CB1">
        <w:t>with the addition of a peer review process, to be used only where relevant, that would allow each case to be tested on its merits.</w:t>
      </w:r>
    </w:p>
    <w:p w:rsidR="00F51BE6" w:rsidRDefault="00F51BE6" w:rsidP="00F51BE6"/>
    <w:p w:rsidR="00F51BE6" w:rsidRPr="00F74275" w:rsidRDefault="00F51BE6" w:rsidP="00F51BE6">
      <w:pPr>
        <w:rPr>
          <w:rFonts w:asciiTheme="minorHAnsi" w:hAnsiTheme="minorHAnsi"/>
          <w:iCs/>
          <w:color w:val="000000"/>
          <w:szCs w:val="24"/>
          <w:lang w:eastAsia="en-GB"/>
        </w:rPr>
      </w:pPr>
      <w:r w:rsidRPr="00F74275">
        <w:rPr>
          <w:rFonts w:asciiTheme="minorHAnsi" w:hAnsiTheme="minorHAnsi"/>
          <w:iCs/>
          <w:color w:val="000000"/>
          <w:szCs w:val="24"/>
          <w:lang w:eastAsia="en-GB"/>
        </w:rPr>
        <w:lastRenderedPageBreak/>
        <w:t>Our suggested wording for the clarification to regulation 32.2(b)</w:t>
      </w:r>
      <w:r>
        <w:rPr>
          <w:rFonts w:asciiTheme="minorHAnsi" w:hAnsiTheme="minorHAnsi"/>
          <w:iCs/>
          <w:color w:val="000000"/>
          <w:szCs w:val="24"/>
          <w:lang w:eastAsia="en-GB"/>
        </w:rPr>
        <w:t xml:space="preserve"> </w:t>
      </w:r>
      <w:r w:rsidRPr="00F74275">
        <w:rPr>
          <w:rFonts w:asciiTheme="minorHAnsi" w:hAnsiTheme="minorHAnsi"/>
          <w:iCs/>
          <w:color w:val="000000"/>
          <w:szCs w:val="24"/>
          <w:lang w:eastAsia="en-GB"/>
        </w:rPr>
        <w:t>is as follows:</w:t>
      </w:r>
    </w:p>
    <w:p w:rsidR="00F51BE6" w:rsidRDefault="00F51BE6" w:rsidP="00F51BE6">
      <w:pPr>
        <w:ind w:left="720" w:hanging="720"/>
      </w:pPr>
      <w:r w:rsidRPr="00F74275">
        <w:rPr>
          <w:i/>
        </w:rPr>
        <w:tab/>
      </w:r>
      <w:r>
        <w:rPr>
          <w:i/>
        </w:rPr>
        <w:t>“</w:t>
      </w:r>
      <w:r w:rsidRPr="00F74275">
        <w:rPr>
          <w:i/>
        </w:rPr>
        <w:t>In the built environment this may be evidenced by impartial independent peer review, comprising a minimum of three qualified reviewers, with no conflicts of interest and having at least ten years’ experience of holding a specific qualification directly related to the subject being</w:t>
      </w:r>
      <w:r>
        <w:t xml:space="preserve"> reviewed.”  </w:t>
      </w:r>
    </w:p>
    <w:p w:rsidR="006C7573" w:rsidRDefault="00F51BE6" w:rsidP="00D3111C">
      <w:pPr>
        <w:ind w:left="720"/>
      </w:pPr>
      <w:r w:rsidRPr="00FA5A9E" w:rsidDel="00F51BE6">
        <w:rPr>
          <w:rFonts w:ascii="inherit" w:hAnsi="inherit"/>
          <w:i/>
          <w:iCs/>
          <w:color w:val="000000"/>
          <w:sz w:val="24"/>
          <w:szCs w:val="24"/>
          <w:lang w:eastAsia="en-GB"/>
        </w:rPr>
        <w:t xml:space="preserve"> </w:t>
      </w:r>
      <w:r w:rsidR="00AC1951">
        <w:t xml:space="preserve"> </w:t>
      </w:r>
    </w:p>
    <w:p w:rsidR="00FF609B" w:rsidRDefault="00103CB1" w:rsidP="00FF609B">
      <w:r>
        <w:t xml:space="preserve">We propose </w:t>
      </w:r>
      <w:r w:rsidR="00FF609B">
        <w:t xml:space="preserve">that consideration might be given to adopting this </w:t>
      </w:r>
      <w:r w:rsidR="00F51BE6">
        <w:t xml:space="preserve">or a similar clarification </w:t>
      </w:r>
      <w:r w:rsidR="00FF609B">
        <w:t xml:space="preserve">through governance, or by standing order across </w:t>
      </w:r>
      <w:r>
        <w:t xml:space="preserve">the </w:t>
      </w:r>
      <w:r w:rsidR="00FF609B">
        <w:t xml:space="preserve">TfL GLA family, </w:t>
      </w:r>
      <w:r>
        <w:t xml:space="preserve">or by national provision </w:t>
      </w:r>
      <w:r w:rsidR="00FF609B">
        <w:t>through a Procurement Policy Note (PPN).</w:t>
      </w:r>
      <w:r w:rsidR="00F51BE6">
        <w:t xml:space="preserve"> This would allow us all to benefit from the positive and creative endeavours of those developing built environment ideas for public good.</w:t>
      </w:r>
    </w:p>
    <w:p w:rsidR="00103CB1" w:rsidRDefault="00103CB1" w:rsidP="00FF609B">
      <w:r>
        <w:t xml:space="preserve"> </w:t>
      </w:r>
    </w:p>
    <w:p w:rsidR="00F00C58" w:rsidRDefault="00F00C58" w:rsidP="00FF609B">
      <w:r>
        <w:t xml:space="preserve">London has many challenges </w:t>
      </w:r>
      <w:r w:rsidR="00F51BE6">
        <w:t xml:space="preserve">and it is clear that we need to find a way through this issue that will encourage design professionals to come forward with ideas and to engage with communities </w:t>
      </w:r>
      <w:r w:rsidR="00D3111C">
        <w:t>in order to meet them, and for c</w:t>
      </w:r>
      <w:r w:rsidR="00F51BE6">
        <w:t>lient bodies to know they can access those ideas and benefit from the knowledge and work already carried out.</w:t>
      </w:r>
      <w:r>
        <w:t xml:space="preserve">  </w:t>
      </w:r>
    </w:p>
    <w:p w:rsidR="00F00C58" w:rsidRDefault="00F00C58" w:rsidP="00FF609B"/>
    <w:p w:rsidR="00A105C6" w:rsidRDefault="00103CB1">
      <w:r>
        <w:t xml:space="preserve">We trust that your committee </w:t>
      </w:r>
      <w:r w:rsidR="00C456F4">
        <w:t xml:space="preserve">and the GLA </w:t>
      </w:r>
      <w:r>
        <w:t>will give due consideration to the matters raised above.</w:t>
      </w:r>
    </w:p>
    <w:p w:rsidR="00103CB1" w:rsidRDefault="00103CB1"/>
    <w:p w:rsidR="00103CB1" w:rsidRDefault="00103CB1">
      <w:r>
        <w:t>Yours sincerely</w:t>
      </w:r>
    </w:p>
    <w:p w:rsidR="002A310A" w:rsidRDefault="002A310A"/>
    <w:p w:rsidR="00103CB1" w:rsidRDefault="00103CB1"/>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 xml:space="preserve">Andy McConachie, associate partner Simpson </w:t>
      </w:r>
      <w:proofErr w:type="spellStart"/>
      <w:r w:rsidRPr="002A310A">
        <w:rPr>
          <w:rFonts w:asciiTheme="minorHAnsi" w:eastAsia="Times New Roman" w:hAnsiTheme="minorHAnsi" w:cstheme="minorBidi"/>
        </w:rPr>
        <w:t>Haugh</w:t>
      </w:r>
      <w:proofErr w:type="spellEnd"/>
      <w:r w:rsidRPr="002A310A">
        <w:rPr>
          <w:rFonts w:asciiTheme="minorHAnsi" w:eastAsia="Times New Roman" w:hAnsiTheme="minorHAnsi" w:cstheme="minorBidi"/>
        </w:rPr>
        <w:t xml:space="preserve">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Angela Brady OBE. PDSA PPRIBA, director Brady Mallalieu Architects Ltd</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 xml:space="preserve">Carl Turner RIBA, Carl Turner Architects </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David Mikhail, Mikhail Riches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 xml:space="preserve">Deborah </w:t>
      </w:r>
      <w:proofErr w:type="spellStart"/>
      <w:r w:rsidRPr="002A310A">
        <w:rPr>
          <w:rFonts w:asciiTheme="minorHAnsi" w:eastAsia="Times New Roman" w:hAnsiTheme="minorHAnsi" w:cstheme="minorBidi"/>
        </w:rPr>
        <w:t>Nagan</w:t>
      </w:r>
      <w:proofErr w:type="spellEnd"/>
      <w:r w:rsidRPr="002A310A">
        <w:rPr>
          <w:rFonts w:asciiTheme="minorHAnsi" w:eastAsia="Times New Roman" w:hAnsiTheme="minorHAnsi" w:cstheme="minorBidi"/>
        </w:rPr>
        <w:t xml:space="preserve">, </w:t>
      </w:r>
      <w:proofErr w:type="spellStart"/>
      <w:r w:rsidRPr="002A310A">
        <w:rPr>
          <w:rFonts w:asciiTheme="minorHAnsi" w:eastAsia="Times New Roman" w:hAnsiTheme="minorHAnsi" w:cstheme="minorBidi"/>
        </w:rPr>
        <w:t>Nagan</w:t>
      </w:r>
      <w:proofErr w:type="spellEnd"/>
      <w:r w:rsidRPr="002A310A">
        <w:rPr>
          <w:rFonts w:asciiTheme="minorHAnsi" w:eastAsia="Times New Roman" w:hAnsiTheme="minorHAnsi" w:cstheme="minorBidi"/>
        </w:rPr>
        <w:t xml:space="preserve"> Johnson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Ian Ritchie CBE RA, Ian Ritchie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 xml:space="preserve">James </w:t>
      </w:r>
      <w:proofErr w:type="spellStart"/>
      <w:r w:rsidRPr="002A310A">
        <w:rPr>
          <w:rFonts w:asciiTheme="minorHAnsi" w:eastAsia="Times New Roman" w:hAnsiTheme="minorHAnsi" w:cstheme="minorBidi"/>
        </w:rPr>
        <w:t>McCosh</w:t>
      </w:r>
      <w:proofErr w:type="spellEnd"/>
      <w:r w:rsidRPr="002A310A">
        <w:rPr>
          <w:rFonts w:asciiTheme="minorHAnsi" w:eastAsia="Times New Roman" w:hAnsiTheme="minorHAnsi" w:cstheme="minorBidi"/>
        </w:rPr>
        <w:t xml:space="preserve"> RIBA, van Heyningen &amp; Hayward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Jonathon McDowell, director Matter Architecture Ltd</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Luke Tozer, Pitman Tozer Architects Ltd</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 xml:space="preserve">Meryl </w:t>
      </w:r>
      <w:proofErr w:type="spellStart"/>
      <w:r w:rsidRPr="002A310A">
        <w:rPr>
          <w:rFonts w:asciiTheme="minorHAnsi" w:eastAsia="Times New Roman" w:hAnsiTheme="minorHAnsi" w:cstheme="minorBidi"/>
        </w:rPr>
        <w:t>Towney</w:t>
      </w:r>
      <w:proofErr w:type="spellEnd"/>
      <w:r w:rsidRPr="002A310A">
        <w:rPr>
          <w:rFonts w:asciiTheme="minorHAnsi" w:eastAsia="Times New Roman" w:hAnsiTheme="minorHAnsi" w:cstheme="minorBidi"/>
        </w:rPr>
        <w:t xml:space="preserve"> RIBA, van Heyningen &amp; Hayward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 xml:space="preserve">Mike Davis CBE RIBA FRSA FRGS FICPD, founding partner of the Richard Rogers Partnership </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Robert Sakula, Ash Sakula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 xml:space="preserve">Roland </w:t>
      </w:r>
      <w:proofErr w:type="spellStart"/>
      <w:r w:rsidRPr="002A310A">
        <w:rPr>
          <w:rFonts w:asciiTheme="minorHAnsi" w:eastAsia="Times New Roman" w:hAnsiTheme="minorHAnsi" w:cstheme="minorBidi"/>
        </w:rPr>
        <w:t>Karthaus</w:t>
      </w:r>
      <w:proofErr w:type="spellEnd"/>
      <w:r w:rsidRPr="002A310A">
        <w:rPr>
          <w:rFonts w:asciiTheme="minorHAnsi" w:eastAsia="Times New Roman" w:hAnsiTheme="minorHAnsi" w:cstheme="minorBidi"/>
        </w:rPr>
        <w:t>, director Matter Architecture Ltd</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 xml:space="preserve">Russell Curtis, director </w:t>
      </w:r>
      <w:proofErr w:type="spellStart"/>
      <w:r w:rsidRPr="002A310A">
        <w:rPr>
          <w:rFonts w:asciiTheme="minorHAnsi" w:eastAsia="Times New Roman" w:hAnsiTheme="minorHAnsi" w:cstheme="minorBidi"/>
        </w:rPr>
        <w:t>RCKa</w:t>
      </w:r>
      <w:proofErr w:type="spellEnd"/>
      <w:r w:rsidRPr="002A310A">
        <w:rPr>
          <w:rFonts w:asciiTheme="minorHAnsi" w:eastAsia="Times New Roman" w:hAnsiTheme="minorHAnsi" w:cstheme="minorBidi"/>
        </w:rPr>
        <w:t xml:space="preserve">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Sarah Wigglesworth RDI MBE RIBA, Sarah Wigglesworth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Simon Astridge, Simon Astridge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 xml:space="preserve">Tomas </w:t>
      </w:r>
      <w:proofErr w:type="spellStart"/>
      <w:r w:rsidRPr="002A310A">
        <w:rPr>
          <w:rFonts w:asciiTheme="minorHAnsi" w:eastAsia="Times New Roman" w:hAnsiTheme="minorHAnsi" w:cstheme="minorBidi"/>
        </w:rPr>
        <w:t>Stokke</w:t>
      </w:r>
      <w:proofErr w:type="spellEnd"/>
      <w:r w:rsidRPr="002A310A">
        <w:rPr>
          <w:rFonts w:asciiTheme="minorHAnsi" w:eastAsia="Times New Roman" w:hAnsiTheme="minorHAnsi" w:cstheme="minorBidi"/>
        </w:rPr>
        <w:t xml:space="preserve"> RIBA, director Haptic Architects</w:t>
      </w:r>
    </w:p>
    <w:p w:rsidR="002A310A" w:rsidRPr="002A310A" w:rsidRDefault="002A310A" w:rsidP="002A310A">
      <w:pPr>
        <w:spacing w:after="160" w:line="259" w:lineRule="auto"/>
        <w:rPr>
          <w:rFonts w:asciiTheme="minorHAnsi" w:eastAsia="Times New Roman" w:hAnsiTheme="minorHAnsi" w:cstheme="minorBidi"/>
        </w:rPr>
      </w:pPr>
      <w:r w:rsidRPr="002A310A">
        <w:rPr>
          <w:rFonts w:asciiTheme="minorHAnsi" w:eastAsia="Times New Roman" w:hAnsiTheme="minorHAnsi" w:cstheme="minorBidi"/>
        </w:rPr>
        <w:t>Walter Menteth RIBA, Walter Menteth Architects.</w:t>
      </w:r>
    </w:p>
    <w:p w:rsidR="00FF609B" w:rsidRDefault="00FF609B"/>
    <w:sectPr w:rsidR="00FF60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EF" w:rsidRDefault="006B7DEF" w:rsidP="00103CB1">
      <w:r>
        <w:separator/>
      </w:r>
    </w:p>
  </w:endnote>
  <w:endnote w:type="continuationSeparator" w:id="0">
    <w:p w:rsidR="006B7DEF" w:rsidRDefault="006B7DEF" w:rsidP="00103CB1">
      <w:r>
        <w:continuationSeparator/>
      </w:r>
    </w:p>
  </w:endnote>
  <w:endnote w:id="1">
    <w:p w:rsidR="00103CB1" w:rsidRPr="006820F5" w:rsidRDefault="00103CB1" w:rsidP="00103CB1">
      <w:pPr>
        <w:shd w:val="clear" w:color="auto" w:fill="FFFFFF"/>
        <w:jc w:val="both"/>
        <w:outlineLvl w:val="4"/>
        <w:rPr>
          <w:rStyle w:val="Hyperlink"/>
          <w:rFonts w:asciiTheme="minorHAnsi" w:eastAsia="Times New Roman" w:hAnsiTheme="minorHAnsi" w:cstheme="minorHAnsi"/>
          <w:b/>
          <w:bCs/>
          <w:sz w:val="20"/>
          <w:szCs w:val="20"/>
          <w:lang w:eastAsia="en-GB"/>
        </w:rPr>
      </w:pPr>
      <w:r>
        <w:rPr>
          <w:rStyle w:val="EndnoteReference"/>
        </w:rPr>
        <w:endnoteRef/>
      </w:r>
      <w:r>
        <w:t xml:space="preserve"> </w:t>
      </w:r>
      <w:r w:rsidR="006820F5">
        <w:rPr>
          <w:rFonts w:asciiTheme="minorHAnsi" w:eastAsia="Times New Roman" w:hAnsiTheme="minorHAnsi" w:cstheme="minorHAnsi"/>
          <w:b/>
          <w:bCs/>
          <w:color w:val="000000"/>
          <w:sz w:val="20"/>
          <w:szCs w:val="20"/>
          <w:lang w:eastAsia="en-GB"/>
        </w:rPr>
        <w:fldChar w:fldCharType="begin"/>
      </w:r>
      <w:r w:rsidR="006820F5">
        <w:rPr>
          <w:rFonts w:asciiTheme="minorHAnsi" w:eastAsia="Times New Roman" w:hAnsiTheme="minorHAnsi" w:cstheme="minorHAnsi"/>
          <w:b/>
          <w:bCs/>
          <w:color w:val="000000"/>
          <w:sz w:val="20"/>
          <w:szCs w:val="20"/>
          <w:lang w:eastAsia="en-GB"/>
        </w:rPr>
        <w:instrText xml:space="preserve"> HYPERLINK "http://www.legislation.gov.uk/uksi/2015/102/regulation/32/made" </w:instrText>
      </w:r>
      <w:r w:rsidR="006820F5">
        <w:rPr>
          <w:rFonts w:asciiTheme="minorHAnsi" w:eastAsia="Times New Roman" w:hAnsiTheme="minorHAnsi" w:cstheme="minorHAnsi"/>
          <w:b/>
          <w:bCs/>
          <w:color w:val="000000"/>
          <w:sz w:val="20"/>
          <w:szCs w:val="20"/>
          <w:lang w:eastAsia="en-GB"/>
        </w:rPr>
        <w:fldChar w:fldCharType="separate"/>
      </w:r>
      <w:r w:rsidRPr="006820F5">
        <w:rPr>
          <w:rStyle w:val="Hyperlink"/>
          <w:rFonts w:asciiTheme="minorHAnsi" w:eastAsia="Times New Roman" w:hAnsiTheme="minorHAnsi" w:cstheme="minorHAnsi"/>
          <w:b/>
          <w:bCs/>
          <w:sz w:val="20"/>
          <w:szCs w:val="20"/>
          <w:lang w:eastAsia="en-GB"/>
        </w:rPr>
        <w:t>The Public Contract Regulations 2015</w:t>
      </w:r>
    </w:p>
    <w:p w:rsidR="00103CB1" w:rsidRPr="006820F5" w:rsidRDefault="00103CB1" w:rsidP="00103CB1">
      <w:pPr>
        <w:shd w:val="clear" w:color="auto" w:fill="FFFFFF"/>
        <w:jc w:val="both"/>
        <w:outlineLvl w:val="4"/>
        <w:rPr>
          <w:rFonts w:asciiTheme="minorHAnsi" w:eastAsia="Times New Roman" w:hAnsiTheme="minorHAnsi" w:cstheme="minorHAnsi"/>
          <w:b/>
          <w:bCs/>
          <w:color w:val="000000"/>
          <w:sz w:val="20"/>
          <w:szCs w:val="20"/>
          <w:lang w:eastAsia="en-GB"/>
        </w:rPr>
      </w:pPr>
      <w:r w:rsidRPr="006820F5">
        <w:rPr>
          <w:rStyle w:val="Hyperlink"/>
          <w:rFonts w:asciiTheme="minorHAnsi" w:eastAsia="Times New Roman" w:hAnsiTheme="minorHAnsi" w:cstheme="minorHAnsi"/>
          <w:b/>
          <w:bCs/>
          <w:sz w:val="20"/>
          <w:szCs w:val="20"/>
          <w:lang w:eastAsia="en-GB"/>
        </w:rPr>
        <w:t>Regulation 32</w:t>
      </w:r>
      <w:r w:rsidR="006820F5">
        <w:rPr>
          <w:rFonts w:asciiTheme="minorHAnsi" w:eastAsia="Times New Roman" w:hAnsiTheme="minorHAnsi" w:cstheme="minorHAnsi"/>
          <w:b/>
          <w:bCs/>
          <w:color w:val="000000"/>
          <w:sz w:val="20"/>
          <w:szCs w:val="20"/>
          <w:lang w:eastAsia="en-GB"/>
        </w:rPr>
        <w:fldChar w:fldCharType="end"/>
      </w:r>
    </w:p>
    <w:p w:rsidR="00103CB1" w:rsidRPr="006820F5" w:rsidRDefault="00103CB1" w:rsidP="00103CB1">
      <w:pPr>
        <w:shd w:val="clear" w:color="auto" w:fill="FFFFFF"/>
        <w:jc w:val="both"/>
        <w:outlineLvl w:val="4"/>
        <w:rPr>
          <w:rFonts w:asciiTheme="minorHAnsi" w:eastAsia="Times New Roman" w:hAnsiTheme="minorHAnsi" w:cstheme="minorHAnsi"/>
          <w:b/>
          <w:bCs/>
          <w:color w:val="000000"/>
          <w:sz w:val="20"/>
          <w:szCs w:val="20"/>
          <w:lang w:eastAsia="en-GB"/>
        </w:rPr>
      </w:pPr>
    </w:p>
    <w:p w:rsidR="00103CB1" w:rsidRPr="006820F5" w:rsidRDefault="00103CB1" w:rsidP="00103CB1">
      <w:pPr>
        <w:shd w:val="clear" w:color="auto" w:fill="FFFFFF"/>
        <w:jc w:val="both"/>
        <w:outlineLvl w:val="4"/>
        <w:rPr>
          <w:rFonts w:asciiTheme="minorHAnsi" w:eastAsia="Times New Roman" w:hAnsiTheme="minorHAnsi" w:cstheme="minorHAnsi"/>
          <w:b/>
          <w:bCs/>
          <w:color w:val="000000"/>
          <w:sz w:val="20"/>
          <w:szCs w:val="20"/>
          <w:lang w:eastAsia="en-GB"/>
        </w:rPr>
      </w:pPr>
      <w:r w:rsidRPr="006820F5">
        <w:rPr>
          <w:rFonts w:asciiTheme="minorHAnsi" w:eastAsia="Times New Roman" w:hAnsiTheme="minorHAnsi" w:cstheme="minorHAnsi"/>
          <w:b/>
          <w:bCs/>
          <w:color w:val="000000"/>
          <w:sz w:val="20"/>
          <w:szCs w:val="20"/>
          <w:lang w:eastAsia="en-GB"/>
        </w:rPr>
        <w:t>Use of the negotiated procedure without prior publication</w:t>
      </w:r>
    </w:p>
    <w:p w:rsidR="00103CB1" w:rsidRPr="006820F5" w:rsidRDefault="00103CB1" w:rsidP="00103CB1">
      <w:pPr>
        <w:shd w:val="clear" w:color="auto" w:fill="FFFFFF"/>
        <w:jc w:val="both"/>
        <w:outlineLvl w:val="5"/>
        <w:rPr>
          <w:rFonts w:asciiTheme="minorHAnsi" w:eastAsia="Times New Roman" w:hAnsiTheme="minorHAnsi" w:cstheme="minorHAnsi"/>
          <w:i/>
          <w:iCs/>
          <w:color w:val="000000"/>
          <w:sz w:val="20"/>
          <w:szCs w:val="20"/>
          <w:lang w:eastAsia="en-GB"/>
        </w:rPr>
      </w:pPr>
      <w:r w:rsidRPr="006820F5">
        <w:rPr>
          <w:rFonts w:asciiTheme="minorHAnsi" w:eastAsia="Times New Roman" w:hAnsiTheme="minorHAnsi" w:cstheme="minorHAnsi"/>
          <w:i/>
          <w:iCs/>
          <w:color w:val="000000"/>
          <w:sz w:val="20"/>
          <w:szCs w:val="20"/>
          <w:lang w:eastAsia="en-GB"/>
        </w:rPr>
        <w:t>General grounds</w:t>
      </w:r>
    </w:p>
    <w:p w:rsidR="00103CB1" w:rsidRPr="006820F5" w:rsidRDefault="00103CB1" w:rsidP="00103CB1">
      <w:pPr>
        <w:shd w:val="clear" w:color="auto" w:fill="FFFFFF"/>
        <w:jc w:val="both"/>
        <w:rPr>
          <w:rFonts w:asciiTheme="minorHAnsi" w:eastAsia="Times New Roman" w:hAnsiTheme="minorHAnsi" w:cstheme="minorHAnsi"/>
          <w:color w:val="494949"/>
          <w:sz w:val="20"/>
          <w:szCs w:val="20"/>
          <w:lang w:eastAsia="en-GB"/>
        </w:rPr>
      </w:pPr>
      <w:r w:rsidRPr="006820F5">
        <w:rPr>
          <w:rFonts w:asciiTheme="minorHAnsi" w:eastAsia="Times New Roman" w:hAnsiTheme="minorHAnsi" w:cstheme="minorHAnsi"/>
          <w:color w:val="494949"/>
          <w:sz w:val="20"/>
          <w:szCs w:val="20"/>
          <w:lang w:eastAsia="en-GB"/>
        </w:rPr>
        <w:t xml:space="preserve">(2) The negotiated procedure without prior publication may be used for public works contracts, public supply contracts and public service contracts in any of the following cases:— </w:t>
      </w:r>
    </w:p>
    <w:p w:rsidR="00103CB1" w:rsidRPr="006820F5" w:rsidRDefault="00103CB1" w:rsidP="00103CB1">
      <w:pPr>
        <w:shd w:val="clear" w:color="auto" w:fill="FFFFFF"/>
        <w:ind w:left="426"/>
        <w:rPr>
          <w:rFonts w:asciiTheme="minorHAnsi" w:eastAsia="Times New Roman" w:hAnsiTheme="minorHAnsi" w:cstheme="minorHAnsi"/>
          <w:color w:val="494949"/>
          <w:sz w:val="20"/>
          <w:szCs w:val="20"/>
          <w:lang w:eastAsia="en-GB"/>
        </w:rPr>
      </w:pPr>
      <w:r w:rsidRPr="006820F5">
        <w:rPr>
          <w:rFonts w:asciiTheme="minorHAnsi" w:eastAsia="Times New Roman" w:hAnsiTheme="minorHAnsi" w:cstheme="minorHAnsi"/>
          <w:color w:val="494949"/>
          <w:sz w:val="20"/>
          <w:szCs w:val="20"/>
          <w:lang w:eastAsia="en-GB"/>
        </w:rPr>
        <w:t>(a) where no tenders, no suitable tenders, no requests to participate or no suitable requests to participate have been submitted in response to an open procedure or a restricted procedure, provided that the initial conditions of the contract are not substantially altered and that a report is sent to the Commission where it so requests;</w:t>
      </w:r>
    </w:p>
    <w:p w:rsidR="00103CB1" w:rsidRPr="006820F5" w:rsidRDefault="00103CB1" w:rsidP="00103CB1">
      <w:pPr>
        <w:shd w:val="clear" w:color="auto" w:fill="FFFFFF"/>
        <w:ind w:left="426"/>
        <w:rPr>
          <w:rFonts w:asciiTheme="minorHAnsi" w:eastAsia="Times New Roman" w:hAnsiTheme="minorHAnsi" w:cstheme="minorHAnsi"/>
          <w:color w:val="494949"/>
          <w:sz w:val="20"/>
          <w:szCs w:val="20"/>
          <w:lang w:eastAsia="en-GB"/>
        </w:rPr>
      </w:pPr>
      <w:r w:rsidRPr="006820F5">
        <w:rPr>
          <w:rFonts w:asciiTheme="minorHAnsi" w:eastAsia="Times New Roman" w:hAnsiTheme="minorHAnsi" w:cstheme="minorHAnsi"/>
          <w:color w:val="494949"/>
          <w:sz w:val="20"/>
          <w:szCs w:val="20"/>
          <w:lang w:eastAsia="en-GB"/>
        </w:rPr>
        <w:t>(b) where the works, supplies or services can be supplied only by a particular economic operator for any of the following reasons:—</w:t>
      </w:r>
    </w:p>
    <w:p w:rsidR="00103CB1" w:rsidRPr="006820F5" w:rsidRDefault="00103CB1" w:rsidP="00103CB1">
      <w:pPr>
        <w:shd w:val="clear" w:color="auto" w:fill="FFFFFF"/>
        <w:ind w:left="709"/>
        <w:rPr>
          <w:rFonts w:asciiTheme="minorHAnsi" w:eastAsia="Times New Roman" w:hAnsiTheme="minorHAnsi" w:cstheme="minorHAnsi"/>
          <w:color w:val="494949"/>
          <w:sz w:val="20"/>
          <w:szCs w:val="20"/>
          <w:lang w:eastAsia="en-GB"/>
        </w:rPr>
      </w:pPr>
      <w:r w:rsidRPr="006820F5">
        <w:rPr>
          <w:rFonts w:asciiTheme="minorHAnsi" w:eastAsia="Times New Roman" w:hAnsiTheme="minorHAnsi" w:cstheme="minorHAnsi"/>
          <w:color w:val="494949"/>
          <w:sz w:val="20"/>
          <w:szCs w:val="20"/>
          <w:lang w:eastAsia="en-GB"/>
        </w:rPr>
        <w:t>(</w:t>
      </w:r>
      <w:proofErr w:type="spellStart"/>
      <w:r w:rsidRPr="006820F5">
        <w:rPr>
          <w:rFonts w:asciiTheme="minorHAnsi" w:eastAsia="Times New Roman" w:hAnsiTheme="minorHAnsi" w:cstheme="minorHAnsi"/>
          <w:color w:val="494949"/>
          <w:sz w:val="20"/>
          <w:szCs w:val="20"/>
          <w:lang w:eastAsia="en-GB"/>
        </w:rPr>
        <w:t>i</w:t>
      </w:r>
      <w:proofErr w:type="spellEnd"/>
      <w:r w:rsidRPr="006820F5">
        <w:rPr>
          <w:rFonts w:asciiTheme="minorHAnsi" w:eastAsia="Times New Roman" w:hAnsiTheme="minorHAnsi" w:cstheme="minorHAnsi"/>
          <w:color w:val="494949"/>
          <w:sz w:val="20"/>
          <w:szCs w:val="20"/>
          <w:lang w:eastAsia="en-GB"/>
        </w:rPr>
        <w:t>) the aim of the procurement is the creation or acquisition of a unique work of art or artistic performance,</w:t>
      </w:r>
    </w:p>
    <w:p w:rsidR="00103CB1" w:rsidRPr="006820F5" w:rsidRDefault="00103CB1" w:rsidP="00103CB1">
      <w:pPr>
        <w:shd w:val="clear" w:color="auto" w:fill="FFFFFF"/>
        <w:ind w:left="709"/>
        <w:rPr>
          <w:rFonts w:asciiTheme="minorHAnsi" w:eastAsia="Times New Roman" w:hAnsiTheme="minorHAnsi" w:cstheme="minorHAnsi"/>
          <w:color w:val="494949"/>
          <w:sz w:val="20"/>
          <w:szCs w:val="20"/>
          <w:lang w:eastAsia="en-GB"/>
        </w:rPr>
      </w:pPr>
      <w:r w:rsidRPr="006820F5">
        <w:rPr>
          <w:rFonts w:asciiTheme="minorHAnsi" w:eastAsia="Times New Roman" w:hAnsiTheme="minorHAnsi" w:cstheme="minorHAnsi"/>
          <w:color w:val="494949"/>
          <w:sz w:val="20"/>
          <w:szCs w:val="20"/>
          <w:lang w:eastAsia="en-GB"/>
        </w:rPr>
        <w:t>(ii) competition is absent for technical reasons,</w:t>
      </w:r>
    </w:p>
    <w:p w:rsidR="00103CB1" w:rsidRPr="006820F5" w:rsidRDefault="00103CB1" w:rsidP="00103CB1">
      <w:pPr>
        <w:shd w:val="clear" w:color="auto" w:fill="FFFFFF"/>
        <w:ind w:left="709"/>
        <w:rPr>
          <w:rFonts w:asciiTheme="minorHAnsi" w:eastAsia="Times New Roman" w:hAnsiTheme="minorHAnsi" w:cstheme="minorHAnsi"/>
          <w:color w:val="494949"/>
          <w:sz w:val="20"/>
          <w:szCs w:val="20"/>
          <w:lang w:eastAsia="en-GB"/>
        </w:rPr>
      </w:pPr>
      <w:r w:rsidRPr="006820F5">
        <w:rPr>
          <w:rFonts w:asciiTheme="minorHAnsi" w:eastAsia="Times New Roman" w:hAnsiTheme="minorHAnsi" w:cstheme="minorHAnsi"/>
          <w:color w:val="494949"/>
          <w:sz w:val="20"/>
          <w:szCs w:val="20"/>
          <w:lang w:eastAsia="en-GB"/>
        </w:rPr>
        <w:t>(iii) the protection of exclusive rights, including intellectual property rights,</w:t>
      </w:r>
    </w:p>
    <w:p w:rsidR="00103CB1" w:rsidRPr="006820F5" w:rsidRDefault="00103CB1" w:rsidP="00103CB1">
      <w:pPr>
        <w:shd w:val="clear" w:color="auto" w:fill="FFFFFF"/>
        <w:ind w:left="426"/>
        <w:jc w:val="both"/>
        <w:rPr>
          <w:rFonts w:asciiTheme="minorHAnsi" w:eastAsia="Times New Roman" w:hAnsiTheme="minorHAnsi" w:cstheme="minorHAnsi"/>
          <w:color w:val="494949"/>
          <w:sz w:val="20"/>
          <w:szCs w:val="20"/>
          <w:lang w:eastAsia="en-GB"/>
        </w:rPr>
      </w:pPr>
      <w:r w:rsidRPr="006820F5">
        <w:rPr>
          <w:rFonts w:asciiTheme="minorHAnsi" w:eastAsia="Times New Roman" w:hAnsiTheme="minorHAnsi" w:cstheme="minorHAnsi"/>
          <w:color w:val="494949"/>
          <w:sz w:val="20"/>
          <w:szCs w:val="20"/>
          <w:lang w:eastAsia="en-GB"/>
        </w:rPr>
        <w:t>but only, in the case of paragraphs (ii) and (iii), where no reasonable alternative or substitute exists and the absence of competition is not the result of an artificial narrowing down of the parameters of the procurement;</w:t>
      </w:r>
    </w:p>
    <w:p w:rsidR="00103CB1" w:rsidRDefault="00103CB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EF" w:rsidRDefault="006B7DEF" w:rsidP="00103CB1">
      <w:r>
        <w:separator/>
      </w:r>
    </w:p>
  </w:footnote>
  <w:footnote w:type="continuationSeparator" w:id="0">
    <w:p w:rsidR="006B7DEF" w:rsidRDefault="006B7DEF" w:rsidP="00103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7E3"/>
    <w:multiLevelType w:val="hybridMultilevel"/>
    <w:tmpl w:val="1EB8E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AE4E5D"/>
    <w:multiLevelType w:val="hybridMultilevel"/>
    <w:tmpl w:val="469674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F2"/>
    <w:rsid w:val="00000AF2"/>
    <w:rsid w:val="00086E83"/>
    <w:rsid w:val="00103CB1"/>
    <w:rsid w:val="0014718F"/>
    <w:rsid w:val="00150265"/>
    <w:rsid w:val="001758C7"/>
    <w:rsid w:val="001B7170"/>
    <w:rsid w:val="001E3B3B"/>
    <w:rsid w:val="00201D6B"/>
    <w:rsid w:val="00213044"/>
    <w:rsid w:val="0028171F"/>
    <w:rsid w:val="002A310A"/>
    <w:rsid w:val="002F2047"/>
    <w:rsid w:val="002F382E"/>
    <w:rsid w:val="00391BA7"/>
    <w:rsid w:val="00437DB9"/>
    <w:rsid w:val="004531D1"/>
    <w:rsid w:val="004548EA"/>
    <w:rsid w:val="004672E5"/>
    <w:rsid w:val="00475B21"/>
    <w:rsid w:val="004C2482"/>
    <w:rsid w:val="004D5583"/>
    <w:rsid w:val="005633A2"/>
    <w:rsid w:val="005B15BA"/>
    <w:rsid w:val="00626091"/>
    <w:rsid w:val="00637226"/>
    <w:rsid w:val="006820F5"/>
    <w:rsid w:val="006B7DEF"/>
    <w:rsid w:val="006C7573"/>
    <w:rsid w:val="006D73AB"/>
    <w:rsid w:val="006E748E"/>
    <w:rsid w:val="006F1AAD"/>
    <w:rsid w:val="00705532"/>
    <w:rsid w:val="00713163"/>
    <w:rsid w:val="00755985"/>
    <w:rsid w:val="0076143D"/>
    <w:rsid w:val="008135DA"/>
    <w:rsid w:val="008325C4"/>
    <w:rsid w:val="0086332A"/>
    <w:rsid w:val="00886B7E"/>
    <w:rsid w:val="00890CB1"/>
    <w:rsid w:val="008B2489"/>
    <w:rsid w:val="009266ED"/>
    <w:rsid w:val="00946F04"/>
    <w:rsid w:val="00960FA5"/>
    <w:rsid w:val="0098703A"/>
    <w:rsid w:val="00A01550"/>
    <w:rsid w:val="00A43398"/>
    <w:rsid w:val="00A76256"/>
    <w:rsid w:val="00AC1951"/>
    <w:rsid w:val="00B142F9"/>
    <w:rsid w:val="00B20380"/>
    <w:rsid w:val="00B2697A"/>
    <w:rsid w:val="00B71D08"/>
    <w:rsid w:val="00B802FA"/>
    <w:rsid w:val="00C10F45"/>
    <w:rsid w:val="00C43DEA"/>
    <w:rsid w:val="00C456F4"/>
    <w:rsid w:val="00C554C9"/>
    <w:rsid w:val="00C8479A"/>
    <w:rsid w:val="00CB0196"/>
    <w:rsid w:val="00D140EE"/>
    <w:rsid w:val="00D26542"/>
    <w:rsid w:val="00D3111C"/>
    <w:rsid w:val="00D55FA9"/>
    <w:rsid w:val="00D81EE6"/>
    <w:rsid w:val="00DA1701"/>
    <w:rsid w:val="00DB4CA9"/>
    <w:rsid w:val="00DE51A1"/>
    <w:rsid w:val="00E61CCF"/>
    <w:rsid w:val="00EE7B48"/>
    <w:rsid w:val="00F00C58"/>
    <w:rsid w:val="00F51BE6"/>
    <w:rsid w:val="00F910F6"/>
    <w:rsid w:val="00FA5A9E"/>
    <w:rsid w:val="00FC17A4"/>
    <w:rsid w:val="00FF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D3418-FF38-431D-BD74-98E4705B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50"/>
    <w:rPr>
      <w:rFonts w:ascii="Segoe UI" w:hAnsi="Segoe UI" w:cs="Segoe UI"/>
      <w:sz w:val="18"/>
      <w:szCs w:val="18"/>
    </w:rPr>
  </w:style>
  <w:style w:type="character" w:styleId="CommentReference">
    <w:name w:val="annotation reference"/>
    <w:basedOn w:val="DefaultParagraphFont"/>
    <w:uiPriority w:val="99"/>
    <w:semiHidden/>
    <w:unhideWhenUsed/>
    <w:rsid w:val="00A01550"/>
    <w:rPr>
      <w:sz w:val="16"/>
      <w:szCs w:val="16"/>
    </w:rPr>
  </w:style>
  <w:style w:type="paragraph" w:styleId="CommentText">
    <w:name w:val="annotation text"/>
    <w:basedOn w:val="Normal"/>
    <w:link w:val="CommentTextChar"/>
    <w:uiPriority w:val="99"/>
    <w:semiHidden/>
    <w:unhideWhenUsed/>
    <w:rsid w:val="00A01550"/>
    <w:rPr>
      <w:sz w:val="20"/>
      <w:szCs w:val="20"/>
    </w:rPr>
  </w:style>
  <w:style w:type="character" w:customStyle="1" w:styleId="CommentTextChar">
    <w:name w:val="Comment Text Char"/>
    <w:basedOn w:val="DefaultParagraphFont"/>
    <w:link w:val="CommentText"/>
    <w:uiPriority w:val="99"/>
    <w:semiHidden/>
    <w:rsid w:val="00A01550"/>
    <w:rPr>
      <w:sz w:val="20"/>
      <w:szCs w:val="20"/>
    </w:rPr>
  </w:style>
  <w:style w:type="paragraph" w:styleId="CommentSubject">
    <w:name w:val="annotation subject"/>
    <w:basedOn w:val="CommentText"/>
    <w:next w:val="CommentText"/>
    <w:link w:val="CommentSubjectChar"/>
    <w:uiPriority w:val="99"/>
    <w:semiHidden/>
    <w:unhideWhenUsed/>
    <w:rsid w:val="00A01550"/>
    <w:rPr>
      <w:b/>
      <w:bCs/>
    </w:rPr>
  </w:style>
  <w:style w:type="character" w:customStyle="1" w:styleId="CommentSubjectChar">
    <w:name w:val="Comment Subject Char"/>
    <w:basedOn w:val="CommentTextChar"/>
    <w:link w:val="CommentSubject"/>
    <w:uiPriority w:val="99"/>
    <w:semiHidden/>
    <w:rsid w:val="00A01550"/>
    <w:rPr>
      <w:b/>
      <w:bCs/>
      <w:sz w:val="20"/>
      <w:szCs w:val="20"/>
    </w:rPr>
  </w:style>
  <w:style w:type="paragraph" w:styleId="ListParagraph">
    <w:name w:val="List Paragraph"/>
    <w:basedOn w:val="Normal"/>
    <w:uiPriority w:val="34"/>
    <w:qFormat/>
    <w:rsid w:val="00000AF2"/>
    <w:pPr>
      <w:spacing w:after="160" w:line="252" w:lineRule="auto"/>
      <w:ind w:left="720"/>
      <w:contextualSpacing/>
    </w:pPr>
  </w:style>
  <w:style w:type="character" w:styleId="Hyperlink">
    <w:name w:val="Hyperlink"/>
    <w:basedOn w:val="DefaultParagraphFont"/>
    <w:uiPriority w:val="99"/>
    <w:unhideWhenUsed/>
    <w:rsid w:val="00103CB1"/>
    <w:rPr>
      <w:color w:val="0563C1" w:themeColor="hyperlink"/>
      <w:u w:val="single"/>
    </w:rPr>
  </w:style>
  <w:style w:type="paragraph" w:styleId="EndnoteText">
    <w:name w:val="endnote text"/>
    <w:basedOn w:val="Normal"/>
    <w:link w:val="EndnoteTextChar"/>
    <w:uiPriority w:val="99"/>
    <w:semiHidden/>
    <w:unhideWhenUsed/>
    <w:rsid w:val="00103CB1"/>
    <w:rPr>
      <w:sz w:val="20"/>
      <w:szCs w:val="20"/>
    </w:rPr>
  </w:style>
  <w:style w:type="character" w:customStyle="1" w:styleId="EndnoteTextChar">
    <w:name w:val="Endnote Text Char"/>
    <w:basedOn w:val="DefaultParagraphFont"/>
    <w:link w:val="EndnoteText"/>
    <w:uiPriority w:val="99"/>
    <w:semiHidden/>
    <w:rsid w:val="00103CB1"/>
    <w:rPr>
      <w:rFonts w:ascii="Calibri" w:hAnsi="Calibri" w:cs="Calibri"/>
      <w:sz w:val="20"/>
      <w:szCs w:val="20"/>
    </w:rPr>
  </w:style>
  <w:style w:type="character" w:styleId="EndnoteReference">
    <w:name w:val="endnote reference"/>
    <w:basedOn w:val="DefaultParagraphFont"/>
    <w:uiPriority w:val="99"/>
    <w:semiHidden/>
    <w:unhideWhenUsed/>
    <w:rsid w:val="0010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10873">
      <w:bodyDiv w:val="1"/>
      <w:marLeft w:val="0"/>
      <w:marRight w:val="0"/>
      <w:marTop w:val="0"/>
      <w:marBottom w:val="0"/>
      <w:divBdr>
        <w:top w:val="none" w:sz="0" w:space="0" w:color="auto"/>
        <w:left w:val="none" w:sz="0" w:space="0" w:color="auto"/>
        <w:bottom w:val="none" w:sz="0" w:space="0" w:color="auto"/>
        <w:right w:val="none" w:sz="0" w:space="0" w:color="auto"/>
      </w:divBdr>
    </w:div>
    <w:div w:id="851072600">
      <w:bodyDiv w:val="1"/>
      <w:marLeft w:val="0"/>
      <w:marRight w:val="0"/>
      <w:marTop w:val="0"/>
      <w:marBottom w:val="0"/>
      <w:divBdr>
        <w:top w:val="none" w:sz="0" w:space="0" w:color="auto"/>
        <w:left w:val="none" w:sz="0" w:space="0" w:color="auto"/>
        <w:bottom w:val="none" w:sz="0" w:space="0" w:color="auto"/>
        <w:right w:val="none" w:sz="0" w:space="0" w:color="auto"/>
      </w:divBdr>
    </w:div>
    <w:div w:id="1189221575">
      <w:bodyDiv w:val="1"/>
      <w:marLeft w:val="0"/>
      <w:marRight w:val="0"/>
      <w:marTop w:val="0"/>
      <w:marBottom w:val="0"/>
      <w:divBdr>
        <w:top w:val="none" w:sz="0" w:space="0" w:color="auto"/>
        <w:left w:val="none" w:sz="0" w:space="0" w:color="auto"/>
        <w:bottom w:val="none" w:sz="0" w:space="0" w:color="auto"/>
        <w:right w:val="none" w:sz="0" w:space="0" w:color="auto"/>
      </w:divBdr>
    </w:div>
    <w:div w:id="1197279896">
      <w:bodyDiv w:val="1"/>
      <w:marLeft w:val="0"/>
      <w:marRight w:val="0"/>
      <w:marTop w:val="0"/>
      <w:marBottom w:val="0"/>
      <w:divBdr>
        <w:top w:val="none" w:sz="0" w:space="0" w:color="auto"/>
        <w:left w:val="none" w:sz="0" w:space="0" w:color="auto"/>
        <w:bottom w:val="none" w:sz="0" w:space="0" w:color="auto"/>
        <w:right w:val="none" w:sz="0" w:space="0" w:color="auto"/>
      </w:divBdr>
    </w:div>
    <w:div w:id="1597204918">
      <w:bodyDiv w:val="1"/>
      <w:marLeft w:val="0"/>
      <w:marRight w:val="0"/>
      <w:marTop w:val="0"/>
      <w:marBottom w:val="0"/>
      <w:divBdr>
        <w:top w:val="none" w:sz="0" w:space="0" w:color="auto"/>
        <w:left w:val="none" w:sz="0" w:space="0" w:color="auto"/>
        <w:bottom w:val="none" w:sz="0" w:space="0" w:color="auto"/>
        <w:right w:val="none" w:sz="0" w:space="0" w:color="auto"/>
      </w:divBdr>
    </w:div>
    <w:div w:id="1876890238">
      <w:bodyDiv w:val="1"/>
      <w:marLeft w:val="0"/>
      <w:marRight w:val="0"/>
      <w:marTop w:val="0"/>
      <w:marBottom w:val="0"/>
      <w:divBdr>
        <w:top w:val="none" w:sz="0" w:space="0" w:color="auto"/>
        <w:left w:val="none" w:sz="0" w:space="0" w:color="auto"/>
        <w:bottom w:val="none" w:sz="0" w:space="0" w:color="auto"/>
        <w:right w:val="none" w:sz="0" w:space="0" w:color="auto"/>
      </w:divBdr>
    </w:div>
    <w:div w:id="1946765919">
      <w:bodyDiv w:val="1"/>
      <w:marLeft w:val="0"/>
      <w:marRight w:val="0"/>
      <w:marTop w:val="0"/>
      <w:marBottom w:val="0"/>
      <w:divBdr>
        <w:top w:val="none" w:sz="0" w:space="0" w:color="auto"/>
        <w:left w:val="none" w:sz="0" w:space="0" w:color="auto"/>
        <w:bottom w:val="none" w:sz="0" w:space="0" w:color="auto"/>
        <w:right w:val="none" w:sz="0" w:space="0" w:color="auto"/>
      </w:divBdr>
    </w:div>
    <w:div w:id="20716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102/regulation/32/m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5/102/regulation/3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D34B-73DC-48C0-A216-2BCD1802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walter.m</dc:creator>
  <cp:keywords/>
  <dc:description/>
  <cp:lastModifiedBy>walter.m</cp:lastModifiedBy>
  <cp:revision>2</cp:revision>
  <cp:lastPrinted>2017-11-07T18:22:00Z</cp:lastPrinted>
  <dcterms:created xsi:type="dcterms:W3CDTF">2017-11-08T17:04:00Z</dcterms:created>
  <dcterms:modified xsi:type="dcterms:W3CDTF">2017-11-08T17:04:00Z</dcterms:modified>
</cp:coreProperties>
</file>